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31" w:rsidRPr="004D4C0F" w:rsidRDefault="004D4C0F" w:rsidP="00EA0EE5">
      <w:pPr>
        <w:widowControl/>
        <w:ind w:left="7200" w:firstLine="720"/>
        <w:jc w:val="center"/>
        <w:rPr>
          <w:sz w:val="22"/>
          <w:szCs w:val="22"/>
          <w:lang w:val="en-US"/>
        </w:rPr>
      </w:pPr>
      <w:bookmarkStart w:id="0" w:name="_GoBack"/>
      <w:bookmarkEnd w:id="0"/>
      <w:r>
        <w:rPr>
          <w:lang w:val="en-US"/>
        </w:rPr>
        <w:t xml:space="preserve">   </w:t>
      </w:r>
      <w:r w:rsidR="00435A31" w:rsidRPr="004D4C0F">
        <w:rPr>
          <w:sz w:val="22"/>
          <w:szCs w:val="22"/>
          <w:lang w:val="en-US"/>
        </w:rPr>
        <w:t xml:space="preserve">VšĮ </w:t>
      </w:r>
      <w:r w:rsidR="00291DE9" w:rsidRPr="004D4C0F">
        <w:rPr>
          <w:sz w:val="22"/>
          <w:szCs w:val="22"/>
          <w:lang w:val="en-US"/>
        </w:rPr>
        <w:t xml:space="preserve">Skuodo </w:t>
      </w:r>
      <w:r w:rsidR="00435A31" w:rsidRPr="004D4C0F">
        <w:rPr>
          <w:sz w:val="22"/>
          <w:szCs w:val="22"/>
          <w:lang w:val="en-US"/>
        </w:rPr>
        <w:t>PSPC</w:t>
      </w:r>
    </w:p>
    <w:p w:rsidR="00435A31" w:rsidRPr="004D4C0F" w:rsidRDefault="00435A31" w:rsidP="00EA0EE5">
      <w:pPr>
        <w:widowControl/>
        <w:ind w:left="8640" w:firstLine="720"/>
        <w:jc w:val="center"/>
        <w:rPr>
          <w:sz w:val="22"/>
          <w:szCs w:val="22"/>
          <w:lang w:val="en-US"/>
        </w:rPr>
      </w:pPr>
      <w:r w:rsidRPr="004D4C0F">
        <w:rPr>
          <w:sz w:val="22"/>
          <w:szCs w:val="22"/>
          <w:lang w:val="en-US"/>
        </w:rPr>
        <w:t>šakinės korupcijos prevencijos</w:t>
      </w:r>
    </w:p>
    <w:p w:rsidR="004D4C0F" w:rsidRPr="004D4C0F" w:rsidRDefault="004D4C0F" w:rsidP="004D4C0F">
      <w:pPr>
        <w:widowControl/>
        <w:ind w:left="10080"/>
        <w:rPr>
          <w:sz w:val="22"/>
          <w:szCs w:val="22"/>
          <w:lang w:val="en-US"/>
        </w:rPr>
      </w:pPr>
      <w:r w:rsidRPr="004D4C0F">
        <w:rPr>
          <w:sz w:val="22"/>
          <w:szCs w:val="22"/>
          <w:lang w:val="en-US"/>
        </w:rPr>
        <w:t xml:space="preserve">   </w:t>
      </w:r>
      <w:r w:rsidR="00435A31" w:rsidRPr="004D4C0F">
        <w:rPr>
          <w:sz w:val="22"/>
          <w:szCs w:val="22"/>
          <w:lang w:val="en-US"/>
        </w:rPr>
        <w:t>201</w:t>
      </w:r>
      <w:r w:rsidR="007A1054" w:rsidRPr="004D4C0F">
        <w:rPr>
          <w:sz w:val="22"/>
          <w:szCs w:val="22"/>
          <w:lang w:val="en-US"/>
        </w:rPr>
        <w:t>7</w:t>
      </w:r>
      <w:r w:rsidR="00435A31" w:rsidRPr="004D4C0F">
        <w:rPr>
          <w:sz w:val="22"/>
          <w:szCs w:val="22"/>
          <w:lang w:val="en-US"/>
        </w:rPr>
        <w:t xml:space="preserve">−2019 metams programos </w:t>
      </w:r>
    </w:p>
    <w:p w:rsidR="00435A31" w:rsidRPr="004D4C0F" w:rsidRDefault="004D4C0F" w:rsidP="004D4C0F">
      <w:pPr>
        <w:widowControl/>
        <w:ind w:left="10080"/>
        <w:rPr>
          <w:sz w:val="22"/>
          <w:szCs w:val="22"/>
          <w:lang w:val="en-US"/>
        </w:rPr>
      </w:pPr>
      <w:r w:rsidRPr="004D4C0F">
        <w:rPr>
          <w:sz w:val="22"/>
          <w:szCs w:val="22"/>
          <w:lang w:val="en-US"/>
        </w:rPr>
        <w:t xml:space="preserve">   </w:t>
      </w:r>
      <w:r w:rsidR="00435A31" w:rsidRPr="004D4C0F">
        <w:rPr>
          <w:sz w:val="22"/>
          <w:szCs w:val="22"/>
          <w:lang w:val="en-US"/>
        </w:rPr>
        <w:t>Priedas</w:t>
      </w:r>
    </w:p>
    <w:p w:rsidR="00EA0EE5" w:rsidRDefault="00EA0EE5" w:rsidP="00EA0EE5">
      <w:pPr>
        <w:widowControl/>
        <w:jc w:val="right"/>
        <w:rPr>
          <w:lang w:val="en-US"/>
        </w:rPr>
      </w:pPr>
    </w:p>
    <w:p w:rsidR="00435A31" w:rsidRPr="00EA0EE5" w:rsidRDefault="00435A31" w:rsidP="00EA0EE5">
      <w:pPr>
        <w:widowControl/>
        <w:jc w:val="center"/>
        <w:rPr>
          <w:b/>
          <w:lang w:val="en-US"/>
        </w:rPr>
      </w:pPr>
      <w:r w:rsidRPr="00EA0EE5">
        <w:rPr>
          <w:b/>
          <w:lang w:val="en-US"/>
        </w:rPr>
        <w:t xml:space="preserve">ŠAKINĖS KORUPCIJOS PREVENCIJOS VŠĮ </w:t>
      </w:r>
      <w:r w:rsidR="00C513A0">
        <w:rPr>
          <w:b/>
          <w:lang w:val="en-US"/>
        </w:rPr>
        <w:t>SKUODO</w:t>
      </w:r>
      <w:r w:rsidR="007A1054">
        <w:rPr>
          <w:b/>
          <w:lang w:val="en-US"/>
        </w:rPr>
        <w:t xml:space="preserve"> PSPC 2017</w:t>
      </w:r>
      <w:r w:rsidRPr="00EA0EE5">
        <w:rPr>
          <w:b/>
          <w:lang w:val="en-US"/>
        </w:rPr>
        <w:t>−2019 METŲ PROGRAMOS ĮGYVENDINIMO</w:t>
      </w:r>
    </w:p>
    <w:p w:rsidR="00EA0EE5" w:rsidRDefault="00C513A0" w:rsidP="00C513A0">
      <w:pPr>
        <w:widowControl/>
        <w:jc w:val="center"/>
        <w:rPr>
          <w:b/>
          <w:lang w:val="en-US"/>
        </w:rPr>
      </w:pPr>
      <w:r>
        <w:rPr>
          <w:b/>
          <w:lang w:val="en-US"/>
        </w:rPr>
        <w:t>2017</w:t>
      </w:r>
      <w:r w:rsidR="00435A31" w:rsidRPr="00EA0EE5">
        <w:rPr>
          <w:b/>
          <w:lang w:val="en-US"/>
        </w:rPr>
        <w:t>−2019 METŲ PRIEMONIŲ PLANAS</w:t>
      </w:r>
    </w:p>
    <w:p w:rsidR="00C513A0" w:rsidRDefault="00C513A0" w:rsidP="00C513A0">
      <w:pPr>
        <w:widowControl/>
        <w:jc w:val="center"/>
        <w:rPr>
          <w:b/>
          <w:lang w:val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78"/>
        <w:gridCol w:w="4395"/>
        <w:gridCol w:w="1843"/>
        <w:gridCol w:w="1559"/>
        <w:gridCol w:w="3367"/>
      </w:tblGrid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Eil.</w:t>
            </w:r>
          </w:p>
          <w:p w:rsidR="00EA0EE5" w:rsidRPr="00A86DA2" w:rsidRDefault="00EA0EE5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578" w:type="dxa"/>
          </w:tcPr>
          <w:p w:rsidR="00EA0EE5" w:rsidRPr="00A86DA2" w:rsidRDefault="00EA0EE5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Problema</w:t>
            </w:r>
          </w:p>
          <w:p w:rsidR="00EA0EE5" w:rsidRPr="00A86DA2" w:rsidRDefault="00EA0EE5" w:rsidP="00A86DA2">
            <w:pPr>
              <w:widowControl/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EA0EE5" w:rsidRPr="00A86DA2" w:rsidRDefault="00EA0EE5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1843" w:type="dxa"/>
          </w:tcPr>
          <w:p w:rsidR="00EA0EE5" w:rsidRPr="00A86DA2" w:rsidRDefault="004D4C0F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Vykdytojas (-ai)</w:t>
            </w:r>
          </w:p>
        </w:tc>
        <w:tc>
          <w:tcPr>
            <w:tcW w:w="1559" w:type="dxa"/>
          </w:tcPr>
          <w:p w:rsidR="00EA0EE5" w:rsidRPr="00A86DA2" w:rsidRDefault="00EA0EE5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Įvykdymo</w:t>
            </w:r>
          </w:p>
          <w:p w:rsidR="00EA0EE5" w:rsidRPr="00A86DA2" w:rsidRDefault="004D4C0F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terminas</w:t>
            </w:r>
          </w:p>
        </w:tc>
        <w:tc>
          <w:tcPr>
            <w:tcW w:w="3367" w:type="dxa"/>
          </w:tcPr>
          <w:p w:rsidR="00EA0EE5" w:rsidRPr="00A86DA2" w:rsidRDefault="00EA0EE5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Laukiamo rezultato</w:t>
            </w:r>
          </w:p>
          <w:p w:rsidR="00EA0EE5" w:rsidRPr="00A86DA2" w:rsidRDefault="004D4C0F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vertinimo kriterijai</w:t>
            </w: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Asmens (komisijos), atsakingo (-os) už korupcijos prevencijos ir kontrolės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vykdymą, paskyrimas(patikslinimas).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Informacijos apie asmenį (komisiją),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paskirtą vykdyti korupcijos prevenciją ir kontrolę, pateikimas Sveikatos apsaugos ministerijos (toliau – SAM) Korupcijos prevencijos skyriui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0EE5" w:rsidRPr="00A86DA2" w:rsidRDefault="00E8355B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Iki 2017</w:t>
            </w:r>
            <w:r w:rsidR="00EA0EE5" w:rsidRPr="00A86DA2">
              <w:rPr>
                <w:sz w:val="22"/>
                <w:szCs w:val="22"/>
              </w:rPr>
              <w:t xml:space="preserve"> m.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sausio 1 d.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Paskirtas asmuo (komisija),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patikslinta informacija apie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asmenis (komisiją), atsakingus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(-as) už korupcijos prevenciją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ir kontrolės vykdymą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sistemos įstaigos Šakinės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korupcijos prevencijos sveikatos priežiū</w:t>
            </w:r>
            <w:r w:rsidR="007A1054" w:rsidRPr="00A86DA2">
              <w:rPr>
                <w:sz w:val="22"/>
                <w:szCs w:val="22"/>
              </w:rPr>
              <w:t>ros sistemoje 2017</w:t>
            </w:r>
            <w:r w:rsidRPr="00A86DA2">
              <w:rPr>
                <w:sz w:val="22"/>
                <w:szCs w:val="22"/>
              </w:rPr>
              <w:t>−2019 m. programos į</w:t>
            </w:r>
            <w:r w:rsidR="007A1054" w:rsidRPr="00A86DA2">
              <w:rPr>
                <w:sz w:val="22"/>
                <w:szCs w:val="22"/>
              </w:rPr>
              <w:t>gyvendinimo 2017</w:t>
            </w:r>
            <w:r w:rsidRPr="00A86DA2">
              <w:rPr>
                <w:sz w:val="22"/>
                <w:szCs w:val="22"/>
              </w:rPr>
              <w:t>−2019 m. priemonių plano priemones detalizuojančių priemonių</w:t>
            </w:r>
            <w:r w:rsidR="007A1054" w:rsidRPr="00A86DA2">
              <w:rPr>
                <w:sz w:val="22"/>
                <w:szCs w:val="22"/>
              </w:rPr>
              <w:t xml:space="preserve"> plano 2017</w:t>
            </w:r>
            <w:r w:rsidRPr="00A86DA2">
              <w:rPr>
                <w:sz w:val="22"/>
                <w:szCs w:val="22"/>
              </w:rPr>
              <w:t>–2019 m. (toliau – Korupcijos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prevencijos priemonių</w:t>
            </w:r>
            <w:r w:rsidR="007A1054" w:rsidRPr="00A86DA2">
              <w:rPr>
                <w:sz w:val="22"/>
                <w:szCs w:val="22"/>
              </w:rPr>
              <w:t xml:space="preserve"> planas 2017</w:t>
            </w:r>
            <w:r w:rsidRPr="00A86DA2">
              <w:rPr>
                <w:sz w:val="22"/>
                <w:szCs w:val="22"/>
              </w:rPr>
              <w:t>−2019 m.) parengimas ir patvirtinimas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Iki 2019 m.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gruodžio 31 d</w:t>
            </w:r>
            <w:r w:rsidR="00291DE9" w:rsidRPr="00A86DA2">
              <w:rPr>
                <w:sz w:val="22"/>
                <w:szCs w:val="22"/>
              </w:rPr>
              <w:t>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Ne visos savivaldybių pavaldumo ASPĮ rengia ir </w:t>
            </w:r>
            <w:r w:rsidR="00C513A0" w:rsidRPr="00A86DA2">
              <w:rPr>
                <w:sz w:val="22"/>
                <w:szCs w:val="22"/>
              </w:rPr>
              <w:t xml:space="preserve">pateikia </w:t>
            </w:r>
            <w:r w:rsidRPr="00A86DA2">
              <w:rPr>
                <w:sz w:val="22"/>
                <w:szCs w:val="22"/>
              </w:rPr>
              <w:t>informaciją apie korupcijos prevencijos</w:t>
            </w:r>
            <w:r w:rsidR="00A61CEA" w:rsidRPr="00A86DA2">
              <w:rPr>
                <w:sz w:val="22"/>
                <w:szCs w:val="22"/>
              </w:rPr>
              <w:t xml:space="preserve"> p</w:t>
            </w:r>
            <w:r w:rsidRPr="00A86DA2">
              <w:rPr>
                <w:sz w:val="22"/>
                <w:szCs w:val="22"/>
              </w:rPr>
              <w:t>riemonių planus ir jų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įgyvendinimą bei</w:t>
            </w:r>
            <w:r w:rsidR="00A61CEA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informaciją apie asmenį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(komisiją), paskirtą vykdyti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korupcijos prevenciją ir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kontrolę, steigėjui ir SAM</w:t>
            </w:r>
            <w:r w:rsidR="00A61CEA" w:rsidRPr="00A86DA2">
              <w:rPr>
                <w:sz w:val="22"/>
                <w:szCs w:val="22"/>
              </w:rPr>
              <w:t xml:space="preserve"> </w:t>
            </w:r>
            <w:r w:rsidR="00C513A0" w:rsidRPr="00A86DA2">
              <w:rPr>
                <w:sz w:val="22"/>
                <w:szCs w:val="22"/>
              </w:rPr>
              <w:t xml:space="preserve">Korupcijos </w:t>
            </w:r>
            <w:r w:rsidR="00A61CEA" w:rsidRPr="00A86DA2">
              <w:rPr>
                <w:sz w:val="22"/>
                <w:szCs w:val="22"/>
              </w:rPr>
              <w:t>prevencijos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="00A61CEA" w:rsidRPr="00A86DA2">
              <w:rPr>
                <w:sz w:val="22"/>
                <w:szCs w:val="22"/>
              </w:rPr>
              <w:t>skyriui</w:t>
            </w:r>
          </w:p>
        </w:tc>
        <w:tc>
          <w:tcPr>
            <w:tcW w:w="4395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sistemos įstaigos korupcijos</w:t>
            </w:r>
          </w:p>
          <w:p w:rsidR="00EA0EE5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prevencijos priemonių plano </w:t>
            </w:r>
            <w:r w:rsidR="007A1054" w:rsidRPr="00A86DA2">
              <w:rPr>
                <w:sz w:val="22"/>
                <w:szCs w:val="22"/>
              </w:rPr>
              <w:t>2017</w:t>
            </w:r>
            <w:r w:rsidR="00EA0EE5" w:rsidRPr="00A86DA2">
              <w:rPr>
                <w:sz w:val="22"/>
                <w:szCs w:val="22"/>
              </w:rPr>
              <w:t>-2019 m. kopijos pateikimas savivaldybei ir SAM Korupcijos prevencijos skyriui</w:t>
            </w:r>
            <w:r w:rsidR="004D4C0F" w:rsidRPr="00A86DA2">
              <w:rPr>
                <w:sz w:val="22"/>
                <w:szCs w:val="22"/>
              </w:rPr>
              <w:t>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Savivaldybės pavaldumo ASPĮ vadovas</w:t>
            </w:r>
          </w:p>
        </w:tc>
        <w:tc>
          <w:tcPr>
            <w:tcW w:w="1559" w:type="dxa"/>
          </w:tcPr>
          <w:p w:rsidR="00EA0EE5" w:rsidRPr="00A86DA2" w:rsidRDefault="00E8355B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Iki 2017</w:t>
            </w:r>
            <w:r w:rsidR="00A61CEA" w:rsidRPr="00A86DA2">
              <w:rPr>
                <w:sz w:val="22"/>
                <w:szCs w:val="22"/>
              </w:rPr>
              <w:t xml:space="preserve"> m. I ketvirčio</w:t>
            </w:r>
          </w:p>
        </w:tc>
        <w:tc>
          <w:tcPr>
            <w:tcW w:w="3367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Pateiktos korupcijos prevencijos priemonių planų</w:t>
            </w:r>
            <w:r w:rsidR="00E8355B" w:rsidRPr="00A86DA2">
              <w:rPr>
                <w:sz w:val="22"/>
                <w:szCs w:val="22"/>
              </w:rPr>
              <w:t xml:space="preserve">  2017</w:t>
            </w:r>
            <w:r w:rsidRPr="00A86DA2">
              <w:rPr>
                <w:sz w:val="22"/>
                <w:szCs w:val="22"/>
              </w:rPr>
              <w:t>–2019 metams kopijos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br w:type="page"/>
            </w: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Ne visos sveikatos sistemos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įstaigos skelbia įstaigos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interneto svetainėje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informaciją apie įstaigoje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vykdomas korupcijos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prevencijos priemones bei</w:t>
            </w:r>
            <w:r w:rsidR="00C513A0" w:rsidRPr="00A86DA2">
              <w:rPr>
                <w:sz w:val="22"/>
                <w:szCs w:val="22"/>
              </w:rPr>
              <w:t xml:space="preserve"> d</w:t>
            </w:r>
            <w:r w:rsidRPr="00A86DA2">
              <w:rPr>
                <w:sz w:val="22"/>
                <w:szCs w:val="22"/>
              </w:rPr>
              <w:t>uomenis apie asmenį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(komisiją), atsakingą už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korupcijos prevenciją ir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kontrolę</w:t>
            </w:r>
          </w:p>
        </w:tc>
        <w:tc>
          <w:tcPr>
            <w:tcW w:w="4395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Sveikatos sistemos įstaigos korupcijos 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prevencijos priemonių</w:t>
            </w:r>
            <w:r w:rsidR="007A1054" w:rsidRPr="00A86DA2">
              <w:rPr>
                <w:sz w:val="22"/>
                <w:szCs w:val="22"/>
              </w:rPr>
              <w:t xml:space="preserve"> plano 2017</w:t>
            </w:r>
            <w:r w:rsidRPr="00A86DA2">
              <w:rPr>
                <w:sz w:val="22"/>
                <w:szCs w:val="22"/>
              </w:rPr>
              <w:t>−2019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metams bei patikslintos informacijos apie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asmenį (komisiją), paskirtą vykdyti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korupcijos prevenciją ir kontrolę, duomenų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ir kontaktų skelbimas įstaigos interneto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svetainėje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1CEA" w:rsidRPr="00A86DA2" w:rsidRDefault="00E8355B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Iki 2017</w:t>
            </w:r>
            <w:r w:rsidR="00A61CEA" w:rsidRPr="00A86DA2">
              <w:rPr>
                <w:sz w:val="22"/>
                <w:szCs w:val="22"/>
              </w:rPr>
              <w:t xml:space="preserve"> m.</w:t>
            </w:r>
          </w:p>
          <w:p w:rsidR="00A61CEA" w:rsidRPr="00A86DA2" w:rsidRDefault="00E8355B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 ketvirti</w:t>
            </w:r>
            <w:r w:rsidR="00A61CEA" w:rsidRPr="00A86DA2">
              <w:rPr>
                <w:sz w:val="22"/>
                <w:szCs w:val="22"/>
              </w:rPr>
              <w:t>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sistemos įstaigos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interneto svetainėje paskelbta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atsakingų už korupcijos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prevenciją ir kontrolę asmenų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duomenys ir kontaktai.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Ne visos sveikatos sistemos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įstaigos skelbia įstaigos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interneto svetainėje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ataskaitą apie įstaigos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korupcijos prevencijos</w:t>
            </w:r>
            <w:r w:rsidR="00C513A0" w:rsidRPr="00A86DA2">
              <w:rPr>
                <w:sz w:val="22"/>
                <w:szCs w:val="22"/>
              </w:rPr>
              <w:t xml:space="preserve"> p</w:t>
            </w:r>
            <w:r w:rsidRPr="00A86DA2">
              <w:rPr>
                <w:sz w:val="22"/>
                <w:szCs w:val="22"/>
              </w:rPr>
              <w:t>riemonių plano vykdymą</w:t>
            </w:r>
          </w:p>
        </w:tc>
        <w:tc>
          <w:tcPr>
            <w:tcW w:w="4395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sistemos įstaigos interneto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svetainėje ataskaitos apie korupcijos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prevencijos priemonių</w:t>
            </w:r>
            <w:r w:rsidR="007A1054" w:rsidRPr="00A86DA2">
              <w:rPr>
                <w:sz w:val="22"/>
                <w:szCs w:val="22"/>
              </w:rPr>
              <w:t xml:space="preserve"> plano 2017</w:t>
            </w:r>
            <w:r w:rsidRPr="00A86DA2">
              <w:rPr>
                <w:sz w:val="22"/>
                <w:szCs w:val="22"/>
              </w:rPr>
              <w:t>−2019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metams vykdymą skelbimas</w:t>
            </w:r>
            <w:r w:rsidR="004D4C0F" w:rsidRPr="00A86DA2">
              <w:rPr>
                <w:sz w:val="22"/>
                <w:szCs w:val="22"/>
              </w:rPr>
              <w:t>.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Ataskaitą</w:t>
            </w:r>
          </w:p>
          <w:p w:rsidR="00A61CEA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</w:t>
            </w:r>
            <w:r w:rsidR="00A61CEA" w:rsidRPr="00A86DA2">
              <w:rPr>
                <w:sz w:val="22"/>
                <w:szCs w:val="22"/>
              </w:rPr>
              <w:t>kelbti</w:t>
            </w:r>
            <w:r w:rsidRPr="00A86DA2">
              <w:rPr>
                <w:sz w:val="22"/>
                <w:szCs w:val="22"/>
              </w:rPr>
              <w:t xml:space="preserve"> </w:t>
            </w:r>
            <w:r w:rsidR="00A61CEA" w:rsidRPr="00A86DA2">
              <w:rPr>
                <w:sz w:val="22"/>
                <w:szCs w:val="22"/>
              </w:rPr>
              <w:t>kas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pusę metų, ne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vėliau kaip iki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kito mėnesio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10 d.</w:t>
            </w:r>
          </w:p>
        </w:tc>
        <w:tc>
          <w:tcPr>
            <w:tcW w:w="3367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Paskelbta ataskaita apie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korupcijos prevencijos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priemonių plano 2017–2019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metams priemonių vykdymą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sistemos įstaigų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vadovai, kiti sveikatos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priežiūros specialistai,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dirbantys biudžetinėse ar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viešosiose ASPĮ, privalo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pateikti (patikslinti) privačių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interesų deklaracijas</w:t>
            </w:r>
          </w:p>
        </w:tc>
        <w:tc>
          <w:tcPr>
            <w:tcW w:w="4395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Sveikatos sistemos įstaigų vadovų, kitų 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sveikatos priežiūros specialistų (gydytojai, </w:t>
            </w:r>
          </w:p>
          <w:p w:rsidR="00EA0EE5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odontologai akušeriai-ginekologai)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dirbančių biudžetinė</w:t>
            </w:r>
            <w:r w:rsidR="004D4C0F" w:rsidRPr="00A86DA2">
              <w:rPr>
                <w:sz w:val="22"/>
                <w:szCs w:val="22"/>
              </w:rPr>
              <w:t xml:space="preserve">se ar viešosiose </w:t>
            </w:r>
            <w:r w:rsidRPr="00A86DA2">
              <w:rPr>
                <w:sz w:val="22"/>
                <w:szCs w:val="22"/>
              </w:rPr>
              <w:t>įstaigose, kontrolė</w:t>
            </w:r>
            <w:r w:rsidR="004D4C0F" w:rsidRPr="00A86DA2">
              <w:rPr>
                <w:sz w:val="22"/>
                <w:szCs w:val="22"/>
              </w:rPr>
              <w:t xml:space="preserve">s, kaip jie laikosi </w:t>
            </w:r>
            <w:r w:rsidRPr="00A86DA2">
              <w:rPr>
                <w:sz w:val="22"/>
                <w:szCs w:val="22"/>
              </w:rPr>
              <w:t>Lietuvos Respublikos viešųjų ir privačių</w:t>
            </w:r>
            <w:r w:rsidR="004D4C0F" w:rsidRPr="00A86DA2">
              <w:rPr>
                <w:sz w:val="22"/>
                <w:szCs w:val="22"/>
              </w:rPr>
              <w:t xml:space="preserve"> i</w:t>
            </w:r>
            <w:r w:rsidRPr="00A86DA2">
              <w:rPr>
                <w:sz w:val="22"/>
                <w:szCs w:val="22"/>
              </w:rPr>
              <w:t>nteresų derinimo valstybinė</w:t>
            </w:r>
            <w:r w:rsidR="004D4C0F" w:rsidRPr="00A86DA2">
              <w:rPr>
                <w:sz w:val="22"/>
                <w:szCs w:val="22"/>
              </w:rPr>
              <w:t xml:space="preserve">je tarnyboje </w:t>
            </w:r>
            <w:r w:rsidRPr="00A86DA2">
              <w:rPr>
                <w:sz w:val="22"/>
                <w:szCs w:val="22"/>
              </w:rPr>
              <w:t>įstatymo reikalavimų, vykdymas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A0EE5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SAM Korupcijos prevencijos skyrius</w:t>
            </w:r>
          </w:p>
        </w:tc>
        <w:tc>
          <w:tcPr>
            <w:tcW w:w="1559" w:type="dxa"/>
          </w:tcPr>
          <w:p w:rsidR="00EA0EE5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Kasmet iki 2019 m. gruodžio 31 d.</w:t>
            </w:r>
          </w:p>
        </w:tc>
        <w:tc>
          <w:tcPr>
            <w:tcW w:w="3367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100 proc. nustatyto sąrašo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specialistai pateikė (patikslino)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privačių interesų deklaracijas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neteikiama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informacija, kokiose kitose</w:t>
            </w:r>
          </w:p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darbovietėse dirba ASPĮ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gydytojai</w:t>
            </w:r>
          </w:p>
        </w:tc>
        <w:tc>
          <w:tcPr>
            <w:tcW w:w="4395" w:type="dxa"/>
          </w:tcPr>
          <w:p w:rsidR="00A61CEA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interneto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svetainėje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įstaigos gydytojų,</w:t>
            </w:r>
          </w:p>
          <w:p w:rsidR="00EA0EE5" w:rsidRPr="00A86DA2" w:rsidRDefault="00A61CEA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odontologų,</w:t>
            </w:r>
            <w:r w:rsidR="00C513A0" w:rsidRPr="00A86DA2">
              <w:rPr>
                <w:sz w:val="22"/>
                <w:szCs w:val="22"/>
              </w:rPr>
              <w:t xml:space="preserve"> akušerių -</w:t>
            </w:r>
            <w:r w:rsidRPr="00A86DA2">
              <w:rPr>
                <w:sz w:val="22"/>
                <w:szCs w:val="22"/>
              </w:rPr>
              <w:t>ginekologų darbo kitose darbovietėse,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susijusių su sveikatos priežiūra, grafikų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skelbimas</w:t>
            </w:r>
          </w:p>
        </w:tc>
        <w:tc>
          <w:tcPr>
            <w:tcW w:w="1843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0EE5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Tikslinama kartą per metus</w:t>
            </w:r>
          </w:p>
        </w:tc>
        <w:tc>
          <w:tcPr>
            <w:tcW w:w="3367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Informacija teikiama VTEK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(Vyriauioji tarnybinės etikos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komisija)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rPr>
          <w:trHeight w:val="58"/>
        </w:trPr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ASPĮ neskelbia įstaigos  </w:t>
            </w:r>
            <w:r w:rsidR="00D3699F" w:rsidRPr="00A86DA2">
              <w:rPr>
                <w:sz w:val="22"/>
                <w:szCs w:val="22"/>
              </w:rPr>
              <w:t>darbuotojų elgesio nuostatų</w:t>
            </w:r>
            <w:r w:rsidRPr="00A86DA2">
              <w:rPr>
                <w:sz w:val="22"/>
                <w:szCs w:val="22"/>
              </w:rPr>
              <w:t xml:space="preserve"> </w:t>
            </w:r>
            <w:r w:rsidR="00D3699F" w:rsidRPr="00A86DA2">
              <w:rPr>
                <w:sz w:val="22"/>
                <w:szCs w:val="22"/>
              </w:rPr>
              <w:t>viešai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EA0EE5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ASPĮ darbuotojų elgesio nuostatų 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skelbimas įstaigos interneto svetainė</w:t>
            </w:r>
            <w:r w:rsidR="004D4C0F" w:rsidRPr="00A86DA2">
              <w:rPr>
                <w:sz w:val="22"/>
                <w:szCs w:val="22"/>
              </w:rPr>
              <w:t xml:space="preserve">je, </w:t>
            </w:r>
            <w:r w:rsidRPr="00A86DA2">
              <w:rPr>
                <w:sz w:val="22"/>
                <w:szCs w:val="22"/>
              </w:rPr>
              <w:t>informacijos stenduose ASPĮ poliklinikoje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699F" w:rsidRPr="00A86DA2" w:rsidRDefault="00E8355B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Iki 2017</w:t>
            </w:r>
            <w:r w:rsidR="00D3699F" w:rsidRPr="00A86DA2">
              <w:rPr>
                <w:sz w:val="22"/>
                <w:szCs w:val="22"/>
              </w:rPr>
              <w:t xml:space="preserve"> m.</w:t>
            </w:r>
          </w:p>
          <w:p w:rsidR="00D3699F" w:rsidRPr="00A86DA2" w:rsidRDefault="00E8355B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 ketvirtį</w:t>
            </w:r>
            <w:r w:rsidR="00D3699F" w:rsidRPr="00A86DA2">
              <w:rPr>
                <w:sz w:val="22"/>
                <w:szCs w:val="22"/>
              </w:rPr>
              <w:t>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EA0EE5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Visų ASPĮ interneto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svetainėje, informacijos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stenduose skelbiamas įstaigos</w:t>
            </w:r>
            <w:r w:rsidR="00C513A0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darbuotojų elgesio nuostatai</w:t>
            </w:r>
          </w:p>
        </w:tc>
      </w:tr>
      <w:tr w:rsidR="00896345" w:rsidRPr="00A86DA2" w:rsidTr="00A86DA2">
        <w:tc>
          <w:tcPr>
            <w:tcW w:w="851" w:type="dxa"/>
          </w:tcPr>
          <w:p w:rsidR="00EA0EE5" w:rsidRPr="00A86DA2" w:rsidRDefault="00EA0EE5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Lietuvos medicinos normos MN 14:2005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„Šeimos gydytojas. Teisės, pareigos,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kompetencija ir atsakomybė“, skelbimas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ASPĮ, teikiančiose pirmines ambulatorines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asmens sveikatos priežiūros paslaugas.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MN 24:2007 „Gydytojo odontologo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padėjėjas. Teisė, pareigos, kompetencija ir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atsakomybė“.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MN 28:2004 „Bendrosios praktikos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slaugytoja. Teisės, pareigos, kompetencija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ir atsakomybė“.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MN 40:2006 „Akušeris. Teisės, pareigos,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kompetencija ir atsakomybė“.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MN 42:2005 Gydytojas odontologas.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Teisės, pareigos, kompetencija ir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atsakomybė.“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MN 57: 1998 Bendruomenės slaugytoja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(slaugytojas). Funkcijos, teisė, pareigos,</w:t>
            </w:r>
          </w:p>
          <w:p w:rsidR="00EA0EE5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kompetencija ir atsakomybė</w:t>
            </w:r>
            <w:r w:rsidR="00E8355B" w:rsidRPr="00A86DA2">
              <w:rPr>
                <w:sz w:val="22"/>
                <w:szCs w:val="22"/>
              </w:rPr>
              <w:t>.“</w:t>
            </w:r>
          </w:p>
        </w:tc>
        <w:tc>
          <w:tcPr>
            <w:tcW w:w="1843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ASPĮ vadovas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Nuolat nuo</w:t>
            </w:r>
          </w:p>
          <w:p w:rsidR="00D3699F" w:rsidRPr="00A86DA2" w:rsidRDefault="007A1054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2017</w:t>
            </w:r>
            <w:r w:rsidR="00D3699F" w:rsidRPr="00A86DA2">
              <w:rPr>
                <w:sz w:val="22"/>
                <w:szCs w:val="22"/>
              </w:rPr>
              <w:t xml:space="preserve"> m.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gruodžio 31 d.</w:t>
            </w:r>
          </w:p>
          <w:p w:rsidR="00EA0EE5" w:rsidRPr="00A86DA2" w:rsidRDefault="00EA0EE5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MN 14:2005 skelbiama ASPĮ,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teikiančiose pirmines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ambulatorines asmens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sveikatos priežiūros paslaugas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  <w:p w:rsidR="00EA0EE5" w:rsidRPr="00A86DA2" w:rsidRDefault="00D3699F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br w:type="page"/>
            </w: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sistemos įstaigų darbuotojų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(komisijos narių), atsakingų už korupcijos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prevenciją ir kontrolę, mokymų korupcijos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prevencijos klausimais, vykdymas</w:t>
            </w:r>
            <w:r w:rsidR="004D4C0F" w:rsidRPr="00A86DA2">
              <w:rPr>
                <w:sz w:val="22"/>
                <w:szCs w:val="22"/>
              </w:rPr>
              <w:t>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SAM Korupcijos</w:t>
            </w:r>
          </w:p>
          <w:p w:rsidR="00510811" w:rsidRPr="00A86DA2" w:rsidRDefault="00B74C4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Prevencijos </w:t>
            </w:r>
            <w:r w:rsidR="00510811" w:rsidRPr="00A86DA2">
              <w:rPr>
                <w:sz w:val="22"/>
                <w:szCs w:val="22"/>
              </w:rPr>
              <w:t>skyrius</w:t>
            </w:r>
            <w:r w:rsidRPr="00A86DA2">
              <w:rPr>
                <w:sz w:val="22"/>
                <w:szCs w:val="22"/>
              </w:rPr>
              <w:t xml:space="preserve"> </w:t>
            </w:r>
            <w:r w:rsidR="00510811" w:rsidRPr="00A86DA2">
              <w:rPr>
                <w:sz w:val="22"/>
                <w:szCs w:val="22"/>
              </w:rPr>
              <w:t>kartu su</w:t>
            </w:r>
          </w:p>
          <w:p w:rsidR="00D3699F" w:rsidRPr="00A86DA2" w:rsidRDefault="00B74C4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Specialiųjų </w:t>
            </w:r>
            <w:r w:rsidR="00510811" w:rsidRPr="00A86DA2">
              <w:rPr>
                <w:sz w:val="22"/>
                <w:szCs w:val="22"/>
              </w:rPr>
              <w:t>tyrimų</w:t>
            </w:r>
            <w:r w:rsidRPr="00A86DA2">
              <w:rPr>
                <w:sz w:val="22"/>
                <w:szCs w:val="22"/>
              </w:rPr>
              <w:t xml:space="preserve"> t</w:t>
            </w:r>
            <w:r w:rsidR="00510811" w:rsidRPr="00A86DA2">
              <w:rPr>
                <w:sz w:val="22"/>
                <w:szCs w:val="22"/>
              </w:rPr>
              <w:t>arnyba (toliau –STT)</w:t>
            </w:r>
          </w:p>
        </w:tc>
        <w:tc>
          <w:tcPr>
            <w:tcW w:w="1559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Pagal atskirą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planą,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ne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rečiau kaip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1 kartą per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metus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Mokymuose dalyvavusių SAM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pavaldžių sveikatos sistemos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įstaigų darbuotojų skaičius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Ne visi ASPĮ darbuotojai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susipažinę su sveikatos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apsaugos ministro 2014 m.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liepos 7 d. įsakymu Nr. V773 „Dėl Asmens sveikatos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priežiūros įstaigų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darbuotojų, susidūrusių su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galima korupcinio pobūdžio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nusikalstama veika, elgesio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taisyklių patvirtinimo“.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neorganizuojami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kasmetiniai mokymai, kaip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elgtis susidūrus su</w:t>
            </w:r>
          </w:p>
          <w:p w:rsidR="00D3699F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korupcinio pobūdžio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nuskalstama veika</w:t>
            </w:r>
          </w:p>
          <w:p w:rsidR="00B74C43" w:rsidRPr="00A86DA2" w:rsidRDefault="00B74C4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ASPĮ medicinos personalo mokymų dėl 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apsaugos ministro 2014 m. liepos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7 d. įsakymo Nr. V-773 „Dėl Asmens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sveikatos priežiūros įstaigų darbuotojų,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susidūrusių su galima korupcinio pobūdžio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nusikalstama veika, elgesio taisyklių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patvirtinimo“ vykdymas</w:t>
            </w:r>
            <w:r w:rsidR="004D4C0F" w:rsidRPr="00A86DA2">
              <w:rPr>
                <w:sz w:val="22"/>
                <w:szCs w:val="22"/>
              </w:rPr>
              <w:t>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Ne rečiau kaip 1 kartą per metus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(apimant visus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darbuotojus)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Mokymų skaičius, ASPĮ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darbuotojų mokymų apimtis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 (proc.)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Lipdukų, plakatų, sulaikančių pacientus 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nuo neoficialių mokėjimų medicinos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personalui buvimą ASPĮ darbuotojų darbo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vietose, ant gydytojų specialistų kabinetų</w:t>
            </w:r>
          </w:p>
          <w:p w:rsidR="00D3699F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durų užtikrinimas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Nuolat nuo</w:t>
            </w:r>
          </w:p>
          <w:p w:rsidR="00811B77" w:rsidRPr="00A86DA2" w:rsidRDefault="007A1054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2017</w:t>
            </w:r>
            <w:r w:rsidR="00811B77" w:rsidRPr="00A86DA2">
              <w:rPr>
                <w:sz w:val="22"/>
                <w:szCs w:val="22"/>
              </w:rPr>
              <w:t xml:space="preserve"> m.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sausio 1 d.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Teigiami pokyčiai sociologinių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tyrimų duomenyse,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susijusiuose su neoficialiais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mokėjimais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Privalomos informacijos ASPĮ visų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padalinių (skyrių) informaciniuose</w:t>
            </w:r>
            <w:r w:rsidR="00B74C43" w:rsidRPr="00A86DA2">
              <w:rPr>
                <w:sz w:val="22"/>
                <w:szCs w:val="22"/>
              </w:rPr>
              <w:t xml:space="preserve"> stenduose </w:t>
            </w:r>
            <w:r w:rsidRPr="00A86DA2">
              <w:rPr>
                <w:sz w:val="22"/>
                <w:szCs w:val="22"/>
              </w:rPr>
              <w:t>skelbimas: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1) informacija apie atsakomybę už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korupcinio pobūdžio teisės pažeidimus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2) Informacija, į ką ASPĮ pacientas gali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kreiptis susidūrus su korupcinio pobūdžio veika, (vadovas ar asmuo atsakingas už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korupcijos prevenciją, telefonas, kabinetas)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3) informacija apie ASPĮ pasitikėjimo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telefoną </w:t>
            </w:r>
            <w:r w:rsidR="00B74C43" w:rsidRPr="00A86DA2">
              <w:rPr>
                <w:sz w:val="22"/>
                <w:szCs w:val="22"/>
              </w:rPr>
              <w:t>(</w:t>
            </w:r>
            <w:r w:rsidRPr="00A86DA2">
              <w:rPr>
                <w:sz w:val="22"/>
                <w:szCs w:val="22"/>
              </w:rPr>
              <w:t xml:space="preserve">tel. </w:t>
            </w:r>
            <w:r w:rsidR="00B74C43" w:rsidRPr="00A86DA2">
              <w:rPr>
                <w:sz w:val="22"/>
                <w:szCs w:val="22"/>
              </w:rPr>
              <w:t>(8 440) 736 35</w:t>
            </w:r>
            <w:r w:rsidRPr="00A86DA2">
              <w:rPr>
                <w:sz w:val="22"/>
                <w:szCs w:val="22"/>
              </w:rPr>
              <w:t>, el.p.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info@</w:t>
            </w:r>
            <w:r w:rsidR="00B74C43" w:rsidRPr="00A86DA2">
              <w:rPr>
                <w:sz w:val="22"/>
                <w:szCs w:val="22"/>
              </w:rPr>
              <w:t>skuodopspc.</w:t>
            </w:r>
            <w:r w:rsidRPr="00A86DA2">
              <w:rPr>
                <w:sz w:val="22"/>
                <w:szCs w:val="22"/>
              </w:rPr>
              <w:t>lt)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4) informacija apie SAM „pasitikėjimo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telefoną“ (+370 800 66004)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5) Informacija apie STT „karštosios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linijos“ telefoną (+370 5 266 3333)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6) Informacija apie SAM el. paštą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(korupcija@sam.lt)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7) Informacija apie STT el. paštą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(pranešk@stt.lt) skelbimas</w:t>
            </w:r>
          </w:p>
          <w:p w:rsidR="00D3699F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8) ASPĮ vadovo kreipimasis raštu į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pacientus, kad įstaigoje netoleruojami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neoficialūs mokėjimai</w:t>
            </w:r>
            <w:r w:rsidR="004D4C0F"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ASPĮ vadovas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Nuolat nuo</w:t>
            </w:r>
          </w:p>
          <w:p w:rsidR="00811B77" w:rsidRPr="00A86DA2" w:rsidRDefault="007A1054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2017</w:t>
            </w:r>
            <w:r w:rsidR="00811B77" w:rsidRPr="00A86DA2">
              <w:rPr>
                <w:sz w:val="22"/>
                <w:szCs w:val="22"/>
              </w:rPr>
              <w:t xml:space="preserve"> m.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sausio 1 d.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Teigiami pokyčiai sociologinių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tyrimų duomenyse,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 xml:space="preserve">susijusiuose su </w:t>
            </w:r>
            <w:r w:rsidRPr="00A86DA2">
              <w:rPr>
                <w:sz w:val="22"/>
                <w:szCs w:val="22"/>
              </w:rPr>
              <w:lastRenderedPageBreak/>
              <w:t>neoficialiais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mokėjimais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br w:type="page"/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Privalomos informacijos ASPĮ interneto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svetainėje skelbimas: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1) informacija apie atsakomybę už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korupcinio pobūdžio teisės pažeidimus</w:t>
            </w:r>
            <w:r w:rsidR="00B74C43" w:rsidRPr="00A86DA2">
              <w:rPr>
                <w:sz w:val="22"/>
                <w:szCs w:val="22"/>
              </w:rPr>
              <w:t>.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2) Informacija, į ką ASPĮ pacientas gali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kreiptis susidūrus su korupcinio pobūdžio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veika, (vadovas ar asmuo atsakingas už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korupcijos prevenciją, telefonas, kabinetas)</w:t>
            </w:r>
            <w:r w:rsidR="00B74C43" w:rsidRPr="00A86DA2">
              <w:rPr>
                <w:sz w:val="22"/>
                <w:szCs w:val="22"/>
              </w:rPr>
              <w:t>.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3) informacija apie ASPĮ pasitikėjimo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telefoną (tel. </w:t>
            </w:r>
            <w:r w:rsidR="00B74C43" w:rsidRPr="00A86DA2">
              <w:rPr>
                <w:sz w:val="22"/>
                <w:szCs w:val="22"/>
              </w:rPr>
              <w:t>(8 440) 736 35</w:t>
            </w:r>
            <w:r w:rsidRPr="00A86DA2">
              <w:rPr>
                <w:sz w:val="22"/>
                <w:szCs w:val="22"/>
              </w:rPr>
              <w:t>, el.p.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info@</w:t>
            </w:r>
            <w:r w:rsidR="00B74C43" w:rsidRPr="00A86DA2">
              <w:rPr>
                <w:sz w:val="22"/>
                <w:szCs w:val="22"/>
              </w:rPr>
              <w:t>skuodopspc</w:t>
            </w:r>
            <w:r w:rsidRPr="00A86DA2">
              <w:rPr>
                <w:sz w:val="22"/>
                <w:szCs w:val="22"/>
              </w:rPr>
              <w:t>.lt)</w:t>
            </w:r>
            <w:r w:rsidR="00B74C43" w:rsidRPr="00A86DA2">
              <w:rPr>
                <w:sz w:val="22"/>
                <w:szCs w:val="22"/>
              </w:rPr>
              <w:t>.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4) informacija apie SAM „pasitikėjimo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telefoną“ (+370 800 66004)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5) Informacija apie Specialiųjų tyrimų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tarnybos (toliau – STT) „karštosios linijos“</w:t>
            </w:r>
          </w:p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telefoną (+370 5 266 3333)</w:t>
            </w:r>
          </w:p>
          <w:p w:rsidR="00811B77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6) Informacija apie SAM el. paštą</w:t>
            </w:r>
            <w:r w:rsidR="00811B77" w:rsidRPr="00A86DA2">
              <w:rPr>
                <w:sz w:val="22"/>
                <w:szCs w:val="22"/>
              </w:rPr>
              <w:t xml:space="preserve"> korupcija@sam.lt)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7</w:t>
            </w:r>
            <w:r w:rsidR="00B74C43" w:rsidRPr="00A86DA2">
              <w:rPr>
                <w:sz w:val="22"/>
                <w:szCs w:val="22"/>
              </w:rPr>
              <w:t xml:space="preserve">) Informacija apie STT el. paštą </w:t>
            </w:r>
            <w:hyperlink r:id="rId8" w:history="1">
              <w:r w:rsidR="00B74C43" w:rsidRPr="00A86DA2">
                <w:rPr>
                  <w:rStyle w:val="Hipersaitas"/>
                  <w:rFonts w:cs="Liberation Serif"/>
                  <w:sz w:val="22"/>
                  <w:szCs w:val="22"/>
                </w:rPr>
                <w:t>pranešk@stt.lt</w:t>
              </w:r>
            </w:hyperlink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 xml:space="preserve"> skelbimas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8) ASPĮdarbuotojų, susidūrusių su galimai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korupcinio pobūdžio nusikalstama veika,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elgesio taisyklės, patvirtintos sveikatos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apsaugos ministro 2014 m. liepos 7 d.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įsakymu Nr. V-773 „Dėl Asmens sveikatos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priežiūros įstaigų darbuotojų, susidūrusių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su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galima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korupcinio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pobūdžio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nusikalstama veika, elgesio taisyklių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patvirtinimo“</w:t>
            </w:r>
            <w:r w:rsidR="00B74C43" w:rsidRPr="00A86DA2">
              <w:rPr>
                <w:sz w:val="22"/>
                <w:szCs w:val="22"/>
              </w:rPr>
              <w:t>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9) ASPĮ vadovo kreipimasis raštu į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pacientus, kad įstaigoje netoleruojami</w:t>
            </w:r>
            <w:r w:rsidR="00B74C4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neoficialūs mokėjimai</w:t>
            </w:r>
            <w:r w:rsidR="00B74C43" w:rsidRPr="00A86DA2">
              <w:rPr>
                <w:sz w:val="22"/>
                <w:szCs w:val="22"/>
              </w:rPr>
              <w:t>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10) ASPĮ vadovo video kreipimasis į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pacientus, kad įstaigoje netoleruojami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neoficialūs mokėjimai</w:t>
            </w:r>
            <w:r w:rsidR="00892053" w:rsidRPr="00A86DA2">
              <w:rPr>
                <w:sz w:val="22"/>
                <w:szCs w:val="22"/>
              </w:rPr>
              <w:t>;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11) parengtų antikorupcinių klipų</w:t>
            </w:r>
          </w:p>
          <w:p w:rsidR="00D3699F" w:rsidRPr="00A86DA2" w:rsidRDefault="0089205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</w:t>
            </w:r>
            <w:r w:rsidR="00811B77" w:rsidRPr="00A86DA2">
              <w:rPr>
                <w:sz w:val="22"/>
                <w:szCs w:val="22"/>
              </w:rPr>
              <w:t>emonstravimas</w:t>
            </w:r>
            <w:r w:rsidRPr="00A86DA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lastRenderedPageBreak/>
              <w:t>ASPĮ vadovas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Nuolat nuo</w:t>
            </w:r>
          </w:p>
          <w:p w:rsidR="00811B77" w:rsidRPr="00A86DA2" w:rsidRDefault="007A1054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2017</w:t>
            </w:r>
            <w:r w:rsidR="00811B77" w:rsidRPr="00A86DA2">
              <w:rPr>
                <w:sz w:val="22"/>
                <w:szCs w:val="22"/>
              </w:rPr>
              <w:t xml:space="preserve"> m.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sausio 1 d.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iki 2019 m.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Teigiami pokyčiai sociologinių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tyrimų duomenyse,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susijusiuose su neoficialiais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mokėjimais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br w:type="page"/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Specialiųjų tyrimų tarnybos (toliau – STT) 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ir SAM Korupcijos prevencijos skyriaus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informavimas sveikatos apsaugos ministro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2014 m. liepos 7 d. įsakymo Nr. V–773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„Dėl Asmens sveikatos priežiūros įstaigų</w:t>
            </w:r>
          </w:p>
          <w:p w:rsidR="00D3699F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darbuotojų, susidūrusių su galima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korupcinio pobūdžio nusikalstama veika,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elgesio taisyklių patvirtinimo“ nustatyta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tvarka ASPĮ gavus pranešimą apie galimą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korupcinę veiką</w:t>
            </w:r>
            <w:r w:rsidR="00892053" w:rsidRPr="00A86DA2">
              <w:rPr>
                <w:sz w:val="22"/>
                <w:szCs w:val="22"/>
              </w:rPr>
              <w:t>.</w:t>
            </w:r>
          </w:p>
          <w:p w:rsidR="004D4C0F" w:rsidRPr="00A86DA2" w:rsidRDefault="004D4C0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10811" w:rsidRPr="00A86DA2" w:rsidRDefault="00510811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ASPĮ vadovas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Gavus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pranešimą per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3 darbo dienas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Pateiktų pranešimų ASPĮvadovui ir perduotų pranešimų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STT, SAM Korupcijos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prevencijos skyriui skaičius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Vykdyti viešuosius pirkimus VšĮ CPO LT</w:t>
            </w:r>
            <w:r w:rsidR="004D4C0F" w:rsidRPr="00A86DA2">
              <w:rPr>
                <w:sz w:val="22"/>
                <w:szCs w:val="22"/>
              </w:rPr>
              <w:t>.</w:t>
            </w:r>
          </w:p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Atsakingas asmuo, viešųjų</w:t>
            </w:r>
          </w:p>
          <w:p w:rsidR="00D3699F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pirkimų</w:t>
            </w:r>
            <w:r w:rsidR="004D4C0F" w:rsidRPr="00A86DA2">
              <w:rPr>
                <w:sz w:val="22"/>
                <w:szCs w:val="22"/>
              </w:rPr>
              <w:t xml:space="preserve"> komisija</w:t>
            </w:r>
          </w:p>
        </w:tc>
        <w:tc>
          <w:tcPr>
            <w:tcW w:w="1559" w:type="dxa"/>
          </w:tcPr>
          <w:p w:rsidR="00D3699F" w:rsidRPr="00A86DA2" w:rsidRDefault="0089205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Nuolat iki 2019 m. gruodžio 31 d.</w:t>
            </w:r>
          </w:p>
        </w:tc>
        <w:tc>
          <w:tcPr>
            <w:tcW w:w="3367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Pirkimų per CPO LT skaičius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Gautų skundų registravimas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 xml:space="preserve">Pasitikėjimo telefonu gautos informacijos 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registre</w:t>
            </w:r>
            <w:r w:rsidR="004D4C0F" w:rsidRPr="00A86DA2">
              <w:rPr>
                <w:sz w:val="22"/>
                <w:szCs w:val="22"/>
              </w:rPr>
              <w:t>.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699F" w:rsidRPr="00A86DA2" w:rsidRDefault="0089205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SAM Korupcijos prevencijos skyrius</w:t>
            </w:r>
          </w:p>
        </w:tc>
        <w:tc>
          <w:tcPr>
            <w:tcW w:w="1559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811B77" w:rsidRPr="00A86DA2" w:rsidRDefault="00811B77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Padidėjęs veiklos skaidrumas,</w:t>
            </w:r>
          </w:p>
          <w:p w:rsidR="00D3699F" w:rsidRPr="00A86DA2" w:rsidRDefault="0089205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</w:t>
            </w:r>
            <w:r w:rsidR="00811B77" w:rsidRPr="00A86DA2">
              <w:rPr>
                <w:sz w:val="22"/>
                <w:szCs w:val="22"/>
              </w:rPr>
              <w:t>agerėjusi</w:t>
            </w:r>
            <w:r w:rsidRPr="00A86DA2">
              <w:rPr>
                <w:sz w:val="22"/>
                <w:szCs w:val="22"/>
              </w:rPr>
              <w:t xml:space="preserve"> </w:t>
            </w:r>
            <w:r w:rsidR="00811B77" w:rsidRPr="00A86DA2">
              <w:rPr>
                <w:sz w:val="22"/>
                <w:szCs w:val="22"/>
              </w:rPr>
              <w:t>pacientų</w:t>
            </w:r>
            <w:r w:rsidRPr="00A86DA2">
              <w:rPr>
                <w:sz w:val="22"/>
                <w:szCs w:val="22"/>
              </w:rPr>
              <w:t xml:space="preserve"> </w:t>
            </w:r>
            <w:r w:rsidR="00811B77" w:rsidRPr="00A86DA2">
              <w:rPr>
                <w:sz w:val="22"/>
                <w:szCs w:val="22"/>
              </w:rPr>
              <w:t>aptarnavimo kokybė</w:t>
            </w:r>
          </w:p>
        </w:tc>
      </w:tr>
      <w:tr w:rsidR="00896345" w:rsidRPr="00A86DA2" w:rsidTr="00A86DA2">
        <w:tc>
          <w:tcPr>
            <w:tcW w:w="851" w:type="dxa"/>
          </w:tcPr>
          <w:p w:rsidR="00D3699F" w:rsidRPr="00A86DA2" w:rsidRDefault="00D3699F" w:rsidP="00A86DA2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513A0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Pasitikėjimo telefonu gautame skunde </w:t>
            </w:r>
          </w:p>
          <w:p w:rsidR="00C513A0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 xml:space="preserve">nurodytos ASPĮ steigėjo - savivaldybės </w:t>
            </w:r>
          </w:p>
          <w:p w:rsidR="00C513A0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informavimas dėl pranešime nurodytų</w:t>
            </w:r>
          </w:p>
          <w:p w:rsidR="00C513A0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aplinkybių, kreipimasis dėl patikrinimo</w:t>
            </w:r>
          </w:p>
          <w:p w:rsidR="00D3699F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organizavimo ir SAM informavimo.</w:t>
            </w:r>
          </w:p>
        </w:tc>
        <w:tc>
          <w:tcPr>
            <w:tcW w:w="1843" w:type="dxa"/>
          </w:tcPr>
          <w:p w:rsidR="00D3699F" w:rsidRPr="00A86DA2" w:rsidRDefault="0089205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SAM Korupcijos prevencijos skyrius</w:t>
            </w:r>
          </w:p>
        </w:tc>
        <w:tc>
          <w:tcPr>
            <w:tcW w:w="1559" w:type="dxa"/>
          </w:tcPr>
          <w:p w:rsidR="00D3699F" w:rsidRPr="00A86DA2" w:rsidRDefault="00892053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Per 5 darbo dienas nuo gavimo dienos</w:t>
            </w:r>
          </w:p>
        </w:tc>
        <w:tc>
          <w:tcPr>
            <w:tcW w:w="3367" w:type="dxa"/>
          </w:tcPr>
          <w:p w:rsidR="00C513A0" w:rsidRPr="00A86DA2" w:rsidRDefault="00C513A0" w:rsidP="00A86DA2">
            <w:pPr>
              <w:widowControl/>
              <w:rPr>
                <w:sz w:val="22"/>
                <w:szCs w:val="22"/>
              </w:rPr>
            </w:pPr>
            <w:r w:rsidRPr="00A86DA2">
              <w:rPr>
                <w:sz w:val="22"/>
                <w:szCs w:val="22"/>
              </w:rPr>
              <w:t>Operatyvus reagavimas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į</w:t>
            </w:r>
            <w:r w:rsidR="00EA15F4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skundus ir pagerėjusi pacientų</w:t>
            </w:r>
            <w:r w:rsidR="00892053" w:rsidRPr="00A86DA2">
              <w:rPr>
                <w:sz w:val="22"/>
                <w:szCs w:val="22"/>
              </w:rPr>
              <w:t xml:space="preserve"> </w:t>
            </w:r>
            <w:r w:rsidRPr="00A86DA2">
              <w:rPr>
                <w:sz w:val="22"/>
                <w:szCs w:val="22"/>
              </w:rPr>
              <w:t>aptarnavimo kokybė</w:t>
            </w:r>
          </w:p>
          <w:p w:rsidR="00D3699F" w:rsidRPr="00A86DA2" w:rsidRDefault="00D3699F" w:rsidP="00A86DA2">
            <w:pPr>
              <w:widowControl/>
              <w:rPr>
                <w:sz w:val="22"/>
                <w:szCs w:val="22"/>
              </w:rPr>
            </w:pPr>
          </w:p>
        </w:tc>
      </w:tr>
    </w:tbl>
    <w:p w:rsidR="00EA0EE5" w:rsidRPr="00C513A0" w:rsidRDefault="00EA0EE5" w:rsidP="00EA0EE5">
      <w:pPr>
        <w:widowControl/>
        <w:jc w:val="both"/>
        <w:rPr>
          <w:b/>
        </w:rPr>
      </w:pPr>
    </w:p>
    <w:p w:rsidR="00EA0EE5" w:rsidRPr="00C513A0" w:rsidRDefault="00EA0EE5" w:rsidP="00EA0EE5">
      <w:pPr>
        <w:widowControl/>
        <w:jc w:val="center"/>
        <w:rPr>
          <w:b/>
        </w:rPr>
      </w:pPr>
    </w:p>
    <w:p w:rsidR="00435A31" w:rsidRPr="00C513A0" w:rsidRDefault="00435A31">
      <w:pPr>
        <w:widowControl/>
      </w:pPr>
    </w:p>
    <w:p w:rsidR="00435A31" w:rsidRPr="00C513A0" w:rsidRDefault="00435A31">
      <w:pPr>
        <w:widowControl/>
      </w:pPr>
    </w:p>
    <w:p w:rsidR="00435A31" w:rsidRPr="00C513A0" w:rsidRDefault="00435A31">
      <w:pPr>
        <w:widowControl/>
      </w:pPr>
    </w:p>
    <w:p w:rsidR="00435A31" w:rsidRPr="00C513A0" w:rsidRDefault="00435A31">
      <w:pPr>
        <w:widowControl/>
      </w:pPr>
    </w:p>
    <w:p w:rsidR="00435A31" w:rsidRPr="00C513A0" w:rsidRDefault="00435A31">
      <w:pPr>
        <w:widowControl/>
      </w:pPr>
    </w:p>
    <w:p w:rsidR="00435A31" w:rsidRPr="00C513A0" w:rsidRDefault="00435A31">
      <w:pPr>
        <w:widowControl/>
      </w:pPr>
    </w:p>
    <w:p w:rsidR="00435A31" w:rsidRPr="00C513A0" w:rsidRDefault="00435A31">
      <w:pPr>
        <w:widowControl/>
      </w:pPr>
    </w:p>
    <w:p w:rsidR="00435A31" w:rsidRPr="00C513A0" w:rsidRDefault="001B74AC" w:rsidP="001B74AC">
      <w:pPr>
        <w:widowControl/>
        <w:jc w:val="center"/>
      </w:pPr>
      <w:r>
        <w:t>_________________________________________________________________________</w:t>
      </w: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892053" w:rsidRDefault="00892053">
      <w:pPr>
        <w:widowControl/>
      </w:pPr>
    </w:p>
    <w:p w:rsidR="00E8355B" w:rsidRDefault="00E8355B" w:rsidP="00892053">
      <w:pPr>
        <w:widowControl/>
        <w:ind w:left="10080" w:firstLine="720"/>
      </w:pPr>
    </w:p>
    <w:p w:rsidR="00E8355B" w:rsidRDefault="00E8355B" w:rsidP="00892053">
      <w:pPr>
        <w:widowControl/>
        <w:ind w:left="10080" w:firstLine="720"/>
      </w:pPr>
    </w:p>
    <w:p w:rsidR="00E8355B" w:rsidRDefault="00E8355B" w:rsidP="00892053">
      <w:pPr>
        <w:widowControl/>
        <w:ind w:left="10080" w:firstLine="720"/>
      </w:pPr>
    </w:p>
    <w:p w:rsidR="00E8355B" w:rsidRDefault="00E8355B" w:rsidP="00892053">
      <w:pPr>
        <w:widowControl/>
        <w:ind w:left="10080" w:firstLine="720"/>
      </w:pPr>
    </w:p>
    <w:p w:rsidR="00E8355B" w:rsidRDefault="00E8355B" w:rsidP="00892053">
      <w:pPr>
        <w:widowControl/>
        <w:ind w:left="10080" w:firstLine="720"/>
      </w:pPr>
    </w:p>
    <w:p w:rsidR="00E8355B" w:rsidRDefault="00E8355B" w:rsidP="00892053">
      <w:pPr>
        <w:widowControl/>
        <w:ind w:left="10080" w:firstLine="720"/>
      </w:pPr>
    </w:p>
    <w:p w:rsidR="004D4C0F" w:rsidRDefault="004D4C0F" w:rsidP="00892053">
      <w:pPr>
        <w:widowControl/>
        <w:ind w:left="10080" w:firstLine="720"/>
      </w:pPr>
    </w:p>
    <w:p w:rsidR="00435A31" w:rsidRPr="00C513A0" w:rsidRDefault="00435A31" w:rsidP="00892053">
      <w:pPr>
        <w:widowControl/>
        <w:ind w:left="10080" w:firstLine="720"/>
      </w:pPr>
      <w:r w:rsidRPr="00C513A0">
        <w:t>PATVIRTINTA</w:t>
      </w:r>
    </w:p>
    <w:p w:rsidR="00435A31" w:rsidRPr="00C513A0" w:rsidRDefault="00892053" w:rsidP="00892053">
      <w:pPr>
        <w:widowControl/>
        <w:ind w:left="9360" w:firstLine="720"/>
        <w:jc w:val="center"/>
      </w:pPr>
      <w:r>
        <w:t xml:space="preserve">      </w:t>
      </w:r>
      <w:r w:rsidR="00435A31" w:rsidRPr="00C513A0">
        <w:t xml:space="preserve">VšĮ </w:t>
      </w:r>
      <w:r>
        <w:t xml:space="preserve">Skuodo </w:t>
      </w:r>
      <w:r w:rsidR="00435A31" w:rsidRPr="00C513A0">
        <w:t xml:space="preserve">PSPC </w:t>
      </w:r>
      <w:r>
        <w:t>direktoriaus</w:t>
      </w:r>
    </w:p>
    <w:p w:rsidR="00435A31" w:rsidRPr="00C513A0" w:rsidRDefault="00892053" w:rsidP="00892053">
      <w:pPr>
        <w:widowControl/>
        <w:ind w:left="9360" w:firstLine="720"/>
        <w:jc w:val="center"/>
      </w:pPr>
      <w:r>
        <w:t xml:space="preserve">     2017</w:t>
      </w:r>
      <w:r w:rsidR="00435A31" w:rsidRPr="00C513A0">
        <w:t xml:space="preserve"> m.  d. Nr.V1-1</w:t>
      </w:r>
    </w:p>
    <w:p w:rsidR="00435A31" w:rsidRPr="00C513A0" w:rsidRDefault="00435A31" w:rsidP="00892053">
      <w:pPr>
        <w:widowControl/>
        <w:jc w:val="center"/>
      </w:pPr>
      <w:r w:rsidRPr="00C513A0">
        <w:t>(pavyzdys)</w:t>
      </w:r>
    </w:p>
    <w:p w:rsidR="00435A31" w:rsidRDefault="00435A31" w:rsidP="00892053">
      <w:pPr>
        <w:widowControl/>
        <w:jc w:val="right"/>
        <w:rPr>
          <w:lang w:val="en-US"/>
        </w:rPr>
      </w:pPr>
    </w:p>
    <w:p w:rsidR="00435A31" w:rsidRPr="00892053" w:rsidRDefault="00435A31" w:rsidP="00892053">
      <w:pPr>
        <w:widowControl/>
        <w:jc w:val="center"/>
        <w:rPr>
          <w:b/>
          <w:lang w:val="en-US"/>
        </w:rPr>
      </w:pPr>
      <w:r w:rsidRPr="00892053">
        <w:rPr>
          <w:b/>
          <w:lang w:val="en-US"/>
        </w:rPr>
        <w:t>GAUTŲ KORUPCINIO POBŪDŽIO SKUNDŲ REGISTRAVIMO ŽURNALAS NR.</w:t>
      </w:r>
    </w:p>
    <w:p w:rsidR="00435A31" w:rsidRPr="00892053" w:rsidRDefault="00435A31" w:rsidP="00892053">
      <w:pPr>
        <w:widowControl/>
        <w:jc w:val="center"/>
        <w:rPr>
          <w:b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69"/>
        <w:gridCol w:w="3442"/>
        <w:gridCol w:w="3261"/>
        <w:gridCol w:w="2977"/>
        <w:gridCol w:w="1984"/>
      </w:tblGrid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Eil.</w:t>
            </w:r>
          </w:p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Skundo gavimo</w:t>
            </w:r>
          </w:p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data</w:t>
            </w:r>
          </w:p>
          <w:p w:rsidR="00892053" w:rsidRPr="00A86DA2" w:rsidRDefault="00892053" w:rsidP="00A86D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Skundą pateikusio asmens</w:t>
            </w:r>
          </w:p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duomenys</w:t>
            </w: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Skundą priėmusio asmens</w:t>
            </w:r>
          </w:p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duomenys</w:t>
            </w: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Gauta informacija, problema</w:t>
            </w:r>
          </w:p>
          <w:p w:rsidR="00892053" w:rsidRPr="00A86DA2" w:rsidRDefault="00892053" w:rsidP="00A86D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86DA2">
              <w:rPr>
                <w:b/>
                <w:sz w:val="22"/>
                <w:szCs w:val="22"/>
              </w:rPr>
              <w:t>Pastabos</w:t>
            </w:r>
          </w:p>
          <w:p w:rsidR="00892053" w:rsidRPr="00A86DA2" w:rsidRDefault="00892053" w:rsidP="00A86DA2">
            <w:pPr>
              <w:widowControl/>
              <w:rPr>
                <w:b/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ind w:right="-57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  <w:tr w:rsidR="00896345" w:rsidRPr="00A86DA2" w:rsidTr="00A86DA2">
        <w:tc>
          <w:tcPr>
            <w:tcW w:w="1101" w:type="dxa"/>
          </w:tcPr>
          <w:p w:rsidR="00892053" w:rsidRPr="00A86DA2" w:rsidRDefault="00892053" w:rsidP="00A86DA2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42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2053" w:rsidRPr="00A86DA2" w:rsidRDefault="00892053" w:rsidP="00A86DA2">
            <w:pPr>
              <w:widowControl/>
              <w:rPr>
                <w:sz w:val="22"/>
                <w:szCs w:val="22"/>
              </w:rPr>
            </w:pPr>
          </w:p>
        </w:tc>
      </w:tr>
    </w:tbl>
    <w:p w:rsidR="00435A31" w:rsidRDefault="00435A31">
      <w:pPr>
        <w:widowControl/>
        <w:rPr>
          <w:lang w:val="en-US"/>
        </w:rPr>
      </w:pPr>
    </w:p>
    <w:p w:rsidR="00435A31" w:rsidRDefault="00435A31">
      <w:pPr>
        <w:widowControl/>
        <w:rPr>
          <w:lang w:val="en-US"/>
        </w:rPr>
      </w:pPr>
    </w:p>
    <w:p w:rsidR="00435A31" w:rsidRDefault="00435A31">
      <w:pPr>
        <w:widowControl/>
        <w:rPr>
          <w:lang w:val="en-US"/>
        </w:rPr>
      </w:pPr>
    </w:p>
    <w:p w:rsidR="00435A31" w:rsidRDefault="00435A31">
      <w:pPr>
        <w:widowControl/>
        <w:rPr>
          <w:lang w:val="en-US"/>
        </w:rPr>
      </w:pPr>
    </w:p>
    <w:p w:rsidR="00435A31" w:rsidRDefault="00435A31">
      <w:pPr>
        <w:widowControl/>
        <w:rPr>
          <w:lang w:val="en-US"/>
        </w:rPr>
      </w:pPr>
    </w:p>
    <w:p w:rsidR="00435A31" w:rsidRDefault="00435A31">
      <w:pPr>
        <w:widowControl/>
        <w:rPr>
          <w:lang w:val="en-US"/>
        </w:rPr>
      </w:pPr>
    </w:p>
    <w:p w:rsidR="00435A31" w:rsidRDefault="00435A31">
      <w:pPr>
        <w:widowControl/>
        <w:rPr>
          <w:lang w:val="en-US"/>
        </w:rPr>
      </w:pPr>
    </w:p>
    <w:sectPr w:rsidR="00435A31" w:rsidSect="00A86DA2">
      <w:headerReference w:type="default" r:id="rId9"/>
      <w:headerReference w:type="first" r:id="rId10"/>
      <w:type w:val="continuous"/>
      <w:pgSz w:w="16837" w:h="11905" w:orient="landscape"/>
      <w:pgMar w:top="1440" w:right="1701" w:bottom="1276" w:left="1134" w:header="0" w:footer="0" w:gutter="0"/>
      <w:pgNumType w:chapStyle="1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24" w:rsidRDefault="00285024" w:rsidP="001B74AC">
      <w:r>
        <w:separator/>
      </w:r>
    </w:p>
  </w:endnote>
  <w:endnote w:type="continuationSeparator" w:id="0">
    <w:p w:rsidR="00285024" w:rsidRDefault="00285024" w:rsidP="001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24" w:rsidRDefault="00285024" w:rsidP="001B74AC">
      <w:r>
        <w:separator/>
      </w:r>
    </w:p>
  </w:footnote>
  <w:footnote w:type="continuationSeparator" w:id="0">
    <w:p w:rsidR="00285024" w:rsidRDefault="00285024" w:rsidP="001B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A2" w:rsidRDefault="00A86DA2">
    <w:pPr>
      <w:pStyle w:val="Antrats"/>
      <w:jc w:val="center"/>
    </w:pPr>
  </w:p>
  <w:p w:rsidR="001B74AC" w:rsidRDefault="001B74AC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352">
      <w:rPr>
        <w:noProof/>
      </w:rPr>
      <w:t>2</w:t>
    </w:r>
    <w:r>
      <w:fldChar w:fldCharType="end"/>
    </w:r>
  </w:p>
  <w:p w:rsidR="001B74AC" w:rsidRDefault="001B74A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A2" w:rsidRDefault="00A86DA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352">
      <w:rPr>
        <w:noProof/>
      </w:rPr>
      <w:t>1</w:t>
    </w:r>
    <w:r>
      <w:fldChar w:fldCharType="end"/>
    </w:r>
  </w:p>
  <w:p w:rsidR="00A86DA2" w:rsidRDefault="00A86D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561"/>
    <w:multiLevelType w:val="hybridMultilevel"/>
    <w:tmpl w:val="84E611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B524EA"/>
    <w:multiLevelType w:val="hybridMultilevel"/>
    <w:tmpl w:val="DC7AAE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17"/>
    <w:rsid w:val="001B74AC"/>
    <w:rsid w:val="00285024"/>
    <w:rsid w:val="00291DE9"/>
    <w:rsid w:val="00435A31"/>
    <w:rsid w:val="004D4C0F"/>
    <w:rsid w:val="00510811"/>
    <w:rsid w:val="00674675"/>
    <w:rsid w:val="007A1054"/>
    <w:rsid w:val="00811B77"/>
    <w:rsid w:val="00892053"/>
    <w:rsid w:val="00896345"/>
    <w:rsid w:val="00A54F38"/>
    <w:rsid w:val="00A61CEA"/>
    <w:rsid w:val="00A86DA2"/>
    <w:rsid w:val="00AC3352"/>
    <w:rsid w:val="00B74C43"/>
    <w:rsid w:val="00C513A0"/>
    <w:rsid w:val="00D0796A"/>
    <w:rsid w:val="00D3699F"/>
    <w:rsid w:val="00DB4217"/>
    <w:rsid w:val="00E27ECD"/>
    <w:rsid w:val="00E8355B"/>
    <w:rsid w:val="00EA0EE5"/>
    <w:rsid w:val="00EA15F4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BEACBB-236E-4265-A525-858119D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prastasis"/>
    <w:next w:val="prastasis"/>
    <w:pPr>
      <w:ind w:left="720" w:hanging="430"/>
    </w:pPr>
    <w:rPr>
      <w:rFonts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ntents2">
    <w:name w:val="Contents 2"/>
    <w:basedOn w:val="prastasis"/>
    <w:next w:val="prastasis"/>
    <w:uiPriority w:val="99"/>
    <w:pPr>
      <w:ind w:left="1440" w:hanging="430"/>
    </w:pPr>
    <w:rPr>
      <w:rFonts w:cs="Times New Roman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LowerRomanList">
    <w:name w:val="Lower Roman List"/>
    <w:basedOn w:val="prastasis"/>
    <w:uiPriority w:val="99"/>
    <w:pPr>
      <w:ind w:left="720" w:hanging="430"/>
    </w:pPr>
    <w:rPr>
      <w:rFonts w:cs="Times New Roman"/>
    </w:rPr>
  </w:style>
  <w:style w:type="paragraph" w:customStyle="1" w:styleId="NumberedHeading1">
    <w:name w:val="Numbered Heading 1"/>
    <w:basedOn w:val="Antrat1"/>
    <w:next w:val="prastasis"/>
    <w:uiPriority w:val="9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Antrat2"/>
    <w:next w:val="prastasis"/>
    <w:uiPriority w:val="9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Contents4">
    <w:name w:val="Contents 4"/>
    <w:basedOn w:val="prastasis"/>
    <w:next w:val="prastasis"/>
    <w:uiPriority w:val="99"/>
    <w:pPr>
      <w:ind w:left="2880" w:hanging="430"/>
    </w:pPr>
    <w:rPr>
      <w:rFonts w:cs="Times New Roman"/>
    </w:rPr>
  </w:style>
  <w:style w:type="paragraph" w:customStyle="1" w:styleId="Contents3">
    <w:name w:val="Contents 3"/>
    <w:basedOn w:val="prastasis"/>
    <w:next w:val="prastasis"/>
    <w:uiPriority w:val="99"/>
    <w:pPr>
      <w:ind w:left="2160" w:hanging="430"/>
    </w:pPr>
    <w:rPr>
      <w:rFonts w:cs="Times New Roman"/>
    </w:rPr>
  </w:style>
  <w:style w:type="paragraph" w:customStyle="1" w:styleId="NumberedHeading3">
    <w:name w:val="Numbered Heading 3"/>
    <w:basedOn w:val="Antrat3"/>
    <w:next w:val="prastasis"/>
    <w:uiPriority w:val="9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rPr>
      <w:rFonts w:cs="Times New Roman"/>
    </w:rPr>
  </w:style>
  <w:style w:type="character" w:styleId="Dokumentoinaosnumeris">
    <w:name w:val="endnote reference"/>
    <w:basedOn w:val="Numatytasispastraiposriftas"/>
    <w:uiPriority w:val="99"/>
    <w:rPr>
      <w:rFonts w:cs="Times New Roman"/>
      <w:sz w:val="20"/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Pr>
      <w:rFonts w:cs="Times New Roman"/>
      <w:sz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prastasis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prastasis"/>
    <w:uiPriority w:val="99"/>
    <w:pPr>
      <w:ind w:left="288" w:hanging="288"/>
    </w:pPr>
    <w:rPr>
      <w:rFonts w:cs="Times New Roman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rPr>
      <w:rFonts w:cs="Times New Roman"/>
      <w:sz w:val="20"/>
      <w:szCs w:val="20"/>
    </w:rPr>
  </w:style>
  <w:style w:type="paragraph" w:customStyle="1" w:styleId="ContentsHeader">
    <w:name w:val="Contents Header"/>
    <w:basedOn w:val="prastasis"/>
    <w:next w:val="prastasis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Pr>
      <w:rFonts w:cs="Times New Roman"/>
      <w:sz w:val="20"/>
    </w:rPr>
  </w:style>
  <w:style w:type="paragraph" w:customStyle="1" w:styleId="LowerCaseList">
    <w:name w:val="Lower Case List"/>
    <w:basedOn w:val="NumberedList"/>
    <w:uiPriority w:val="99"/>
  </w:style>
  <w:style w:type="paragraph" w:styleId="Tekstoblokas">
    <w:name w:val="Block Text"/>
    <w:basedOn w:val="prastasis"/>
    <w:uiPriority w:val="99"/>
    <w:pPr>
      <w:spacing w:after="119"/>
      <w:ind w:left="1440" w:right="1440"/>
    </w:pPr>
    <w:rPr>
      <w:rFonts w:cs="Times New Roman"/>
    </w:rPr>
  </w:style>
  <w:style w:type="paragraph" w:styleId="Paprastasistekstas">
    <w:name w:val="Plain Text"/>
    <w:basedOn w:val="prastasis"/>
    <w:link w:val="PaprastasistekstasDiagrama"/>
    <w:uiPriority w:val="99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prastasis"/>
    <w:uiPriority w:val="99"/>
    <w:pPr>
      <w:tabs>
        <w:tab w:val="clear" w:pos="431"/>
        <w:tab w:val="left" w:pos="1584"/>
      </w:tabs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Pr>
      <w:rFonts w:ascii="Courier New" w:hAnsi="Courier New" w:cs="Times New Roman"/>
      <w:sz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character" w:styleId="Puslapioinaosnuoroda">
    <w:name w:val="footnote reference"/>
    <w:basedOn w:val="Numatytasispastraiposriftas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Liberation Serif" w:hAnsi="Liberation Serif" w:cs="Times New Roman"/>
      <w:sz w:val="24"/>
      <w:szCs w:val="24"/>
    </w:rPr>
  </w:style>
  <w:style w:type="paragraph" w:customStyle="1" w:styleId="Endnote">
    <w:name w:val="Endnote"/>
    <w:basedOn w:val="prastasis"/>
    <w:uiPriority w:val="99"/>
    <w:pPr>
      <w:ind w:left="288" w:hanging="288"/>
    </w:pPr>
    <w:rPr>
      <w:rFonts w:cs="Times New Roman"/>
    </w:rPr>
  </w:style>
  <w:style w:type="table" w:styleId="Lentelstinklelis">
    <w:name w:val="Table Grid"/>
    <w:basedOn w:val="prastojilentel"/>
    <w:uiPriority w:val="59"/>
    <w:rsid w:val="00EA0E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74C4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4F3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B74AC"/>
    <w:pPr>
      <w:tabs>
        <w:tab w:val="center" w:pos="4819"/>
        <w:tab w:val="right" w:pos="9638"/>
      </w:tabs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4F38"/>
    <w:rPr>
      <w:rFonts w:ascii="Tahoma" w:hAnsi="Tahoma" w:cs="Times New Roman"/>
      <w:sz w:val="16"/>
    </w:rPr>
  </w:style>
  <w:style w:type="paragraph" w:styleId="Porat">
    <w:name w:val="footer"/>
    <w:basedOn w:val="prastasis"/>
    <w:link w:val="PoratDiagrama"/>
    <w:uiPriority w:val="99"/>
    <w:unhideWhenUsed/>
    <w:rsid w:val="001B74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B74AC"/>
    <w:rPr>
      <w:rFonts w:ascii="Liberation Serif" w:hAnsi="Liberation Serif" w:cs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B74AC"/>
    <w:rPr>
      <w:rFonts w:ascii="Liberation Serif" w:hAnsi="Liberation Serif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e&#353;k@st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5AF6-F665-489F-982A-0B080853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6652</Words>
  <Characters>3793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PSPC4</dc:creator>
  <cp:keywords/>
  <dc:description/>
  <cp:lastModifiedBy>PSPC-Kompai</cp:lastModifiedBy>
  <cp:revision>2</cp:revision>
  <cp:lastPrinted>2017-02-07T12:41:00Z</cp:lastPrinted>
  <dcterms:created xsi:type="dcterms:W3CDTF">2018-09-26T07:18:00Z</dcterms:created>
  <dcterms:modified xsi:type="dcterms:W3CDTF">2018-09-26T07:18:00Z</dcterms:modified>
</cp:coreProperties>
</file>